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A49B0" w:rsidP="00CA49B0" w:rsidRDefault="008F1359" w14:paraId="48DA1B0E" w14:textId="77777777">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Pr="00A63AC3" w:rsidR="00CA49B0" w:rsidP="008F1359" w:rsidRDefault="008F1359" w14:paraId="724CD627" w14:textId="30981ABB">
      <w:pPr>
        <w:pStyle w:val="NoSpacing"/>
        <w:jc w:val="right"/>
        <w:rPr>
          <w:b/>
          <w:sz w:val="28"/>
          <w:szCs w:val="28"/>
        </w:rPr>
      </w:pPr>
      <w:r>
        <w:rPr>
          <w:b/>
        </w:rPr>
        <w:t xml:space="preserve">  </w:t>
      </w:r>
      <w:r w:rsidRPr="00A63AC3" w:rsidR="00D9324E">
        <w:rPr>
          <w:b/>
          <w:sz w:val="28"/>
          <w:szCs w:val="28"/>
        </w:rPr>
        <w:t xml:space="preserve">Advocacy Digest | </w:t>
      </w:r>
      <w:r w:rsidR="009F1DF9">
        <w:rPr>
          <w:b/>
          <w:sz w:val="28"/>
          <w:szCs w:val="28"/>
        </w:rPr>
        <w:t xml:space="preserve">December </w:t>
      </w:r>
      <w:r w:rsidR="00BF3469">
        <w:rPr>
          <w:b/>
          <w:sz w:val="28"/>
          <w:szCs w:val="28"/>
        </w:rPr>
        <w:t>2019</w:t>
      </w:r>
    </w:p>
    <w:p w:rsidR="00D265AD" w:rsidP="00BD04C3" w:rsidRDefault="00BD04C3" w14:paraId="08C08FDB" w14:textId="4787314A">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Pr="00A63AC3" w:rsidR="008F1359">
        <w:rPr>
          <w:rStyle w:val="Strong"/>
          <w:rFonts w:ascii="Liberation Sans" w:hAnsi="Liberation Sans" w:cs="Arial"/>
        </w:rPr>
        <w:t>Brad Boycks, Executive Director</w:t>
      </w:r>
    </w:p>
    <w:p w:rsidR="004615C2" w:rsidP="00750DF8" w:rsidRDefault="004615C2" w14:paraId="3BD9E0D2" w14:textId="56504B18">
      <w:pPr>
        <w:pStyle w:val="NoSpacing"/>
        <w:rPr>
          <w:rFonts w:eastAsia="Times New Roman" w:cs="Helvetica"/>
          <w:b/>
          <w:bCs/>
          <w:color w:val="FF0000"/>
          <w:szCs w:val="24"/>
        </w:rPr>
      </w:pPr>
    </w:p>
    <w:p w:rsidR="001A252B" w:rsidP="00750DF8" w:rsidRDefault="001A252B" w14:paraId="615DBE85" w14:textId="6462D63F">
      <w:pPr>
        <w:pStyle w:val="NoSpacing"/>
        <w:rPr>
          <w:rFonts w:eastAsia="Times New Roman" w:cs="Helvetica"/>
          <w:b/>
          <w:bCs/>
          <w:color w:val="FF0000"/>
          <w:szCs w:val="24"/>
        </w:rPr>
      </w:pPr>
    </w:p>
    <w:p w:rsidRPr="006333BA" w:rsidR="006333BA" w:rsidP="006333BA" w:rsidRDefault="006333BA" w14:paraId="723500FD" w14:textId="2E335379">
      <w:pPr>
        <w:pStyle w:val="NoSpacing"/>
        <w:rPr>
          <w:color w:val="222222"/>
          <w:szCs w:val="24"/>
          <w:shd w:val="clear" w:color="auto" w:fill="FFFFFF"/>
        </w:rPr>
      </w:pPr>
    </w:p>
    <w:p w:rsidR="008379AF" w:rsidP="3BDCFE98" w:rsidRDefault="00322568" w14:paraId="39A122C0" w14:textId="58CA2ED8">
      <w:pPr>
        <w:pStyle w:val="NoSpacing"/>
        <w:bidi w:val="0"/>
        <w:spacing w:before="0" w:beforeAutospacing="off" w:after="0" w:afterAutospacing="off" w:line="240" w:lineRule="auto"/>
        <w:ind w:left="0" w:right="0"/>
        <w:jc w:val="left"/>
        <w:rPr>
          <w:b w:val="1"/>
          <w:bCs w:val="1"/>
          <w:color w:val="222222"/>
        </w:rPr>
      </w:pPr>
      <w:r w:rsidRPr="3BDCFE98">
        <w:rPr>
          <w:b w:val="1"/>
          <w:bCs w:val="1"/>
          <w:color w:val="222222"/>
          <w:shd w:val="clear" w:color="auto" w:fill="FFFFFF"/>
        </w:rPr>
        <w:t xml:space="preserve">2020 </w:t>
      </w:r>
      <w:r w:rsidRPr="3BDCFE98">
        <w:rPr>
          <w:b w:val="1"/>
          <w:bCs w:val="1"/>
          <w:color w:val="222222"/>
          <w:shd w:val="clear" w:color="auto" w:fill="FFFFFF"/>
        </w:rPr>
        <w:t xml:space="preserve">Workforce Housing </w:t>
      </w:r>
      <w:r w:rsidRPr="3BDCFE98" w:rsidR="3BDCFE98">
        <w:rPr>
          <w:b w:val="1"/>
          <w:bCs w:val="1"/>
          <w:color w:val="222222"/>
        </w:rPr>
        <w:t>Proposal</w:t>
      </w:r>
    </w:p>
    <w:p w:rsidR="00322568" w:rsidP="5575CD54" w:rsidRDefault="00322568" w14:paraId="06BA3478" w14:textId="0B1DE1CB">
      <w:pPr>
        <w:pStyle w:val="NoSpacing"/>
        <w:rPr>
          <w:color w:val="222222"/>
        </w:rPr>
      </w:pPr>
      <w:r w:rsidRPr="3BDCFE98">
        <w:rPr>
          <w:color w:val="222222"/>
          <w:shd w:val="clear" w:color="auto" w:fill="FFFFFF"/>
        </w:rPr>
        <w:t xml:space="preserve">With the passage </w:t>
      </w:r>
      <w:r w:rsidRPr="3BDCFE98">
        <w:rPr>
          <w:color w:val="222222"/>
          <w:shd w:val="clear" w:color="auto" w:fill="FFFFFF"/>
        </w:rPr>
        <w:t xml:space="preserve">and implementation of</w:t>
      </w:r>
      <w:r w:rsidRPr="3BDCFE98">
        <w:rPr>
          <w:color w:val="222222"/>
          <w:shd w:val="clear" w:color="auto" w:fill="FFFFFF"/>
        </w:rPr>
        <w:t xml:space="preserve"> </w:t>
      </w:r>
      <w:hyperlink w:history="1" r:id="Rb48884a60fc94e57">
        <w:r w:rsidRPr="3BDCFE98">
          <w:rPr>
            <w:rStyle w:val="Hyperlink"/>
            <w:shd w:val="clear" w:color="auto" w:fill="FFFFFF"/>
          </w:rPr>
          <w:t>2019 Wisconsin Act 38</w:t>
        </w:r>
      </w:hyperlink>
      <w:r w:rsidRPr="3BDCFE98">
        <w:rPr>
          <w:color w:val="222222"/>
          <w:shd w:val="clear" w:color="auto" w:fill="FFFFFF"/>
        </w:rPr>
        <w:t xml:space="preserve">, w</w:t>
      </w:r>
      <w:r w:rsidRPr="3BDCFE98">
        <w:rPr>
          <w:color w:val="222222"/>
          <w:shd w:val="clear" w:color="auto" w:fill="FFFFFF"/>
        </w:rPr>
        <w:t xml:space="preserve">e now turn our efforts to address the issue of making more workforce housing units available.  WBA is working with </w:t>
      </w:r>
      <w:r w:rsidRPr="3BDCFE98">
        <w:rPr>
          <w:color w:val="222222"/>
          <w:shd w:val="clear" w:color="auto" w:fill="FFFFFF"/>
        </w:rPr>
        <w:t xml:space="preserve">the Wisconsin Realtors Association, the Wisconsin Economic Development Association, </w:t>
      </w:r>
      <w:r w:rsidRPr="3BDCFE98">
        <w:rPr>
          <w:color w:val="222222"/>
          <w:shd w:val="clear" w:color="auto" w:fill="FFFFFF"/>
        </w:rPr>
        <w:t xml:space="preserve">Representative Rob Brooks</w:t>
      </w:r>
      <w:r w:rsidRPr="3BDCFE98">
        <w:rPr>
          <w:color w:val="222222"/>
          <w:shd w:val="clear" w:color="auto" w:fill="FFFFFF"/>
        </w:rPr>
        <w:t xml:space="preserve">,</w:t>
      </w:r>
      <w:r w:rsidRPr="3BDCFE98">
        <w:rPr>
          <w:color w:val="222222"/>
          <w:shd w:val="clear" w:color="auto" w:fill="FFFFFF"/>
        </w:rPr>
        <w:t xml:space="preserve"> and Senator Dan </w:t>
      </w:r>
      <w:r w:rsidRPr="3BDCFE98">
        <w:rPr>
          <w:color w:val="222222"/>
          <w:shd w:val="clear" w:color="auto" w:fill="FFFFFF"/>
        </w:rPr>
        <w:t>Feyen</w:t>
      </w:r>
      <w:r w:rsidRPr="3BDCFE98">
        <w:rPr>
          <w:color w:val="222222"/>
          <w:shd w:val="clear" w:color="auto" w:fill="FFFFFF"/>
        </w:rPr>
        <w:t xml:space="preserve"> to roll out a package of reforms to encourage the construction of more workforce housing units.</w:t>
      </w:r>
    </w:p>
    <w:p w:rsidR="00322568" w:rsidP="00750DF8" w:rsidRDefault="00322568" w14:paraId="2D19054D" w14:textId="33ED212E">
      <w:pPr>
        <w:pStyle w:val="NoSpacing"/>
        <w:rPr>
          <w:color w:val="222222"/>
          <w:szCs w:val="24"/>
          <w:shd w:val="clear" w:color="auto" w:fill="FFFFFF"/>
        </w:rPr>
      </w:pPr>
    </w:p>
    <w:p w:rsidR="00322568" w:rsidP="3BDCFE98" w:rsidRDefault="00322568" w14:paraId="663085F2" w14:textId="1B8E3A35">
      <w:pPr>
        <w:pStyle w:val="NoSpacing"/>
        <w:rPr>
          <w:color w:val="222222"/>
        </w:rPr>
      </w:pPr>
      <w:r w:rsidRPr="3BDCFE98">
        <w:rPr>
          <w:color w:val="222222"/>
          <w:shd w:val="clear" w:color="auto" w:fill="FFFFFF"/>
        </w:rPr>
        <w:t xml:space="preserve">There are several</w:t>
      </w:r>
      <w:r w:rsidRPr="3BDCFE98">
        <w:rPr>
          <w:color w:val="222222"/>
          <w:shd w:val="clear" w:color="auto" w:fill="FFFFFF"/>
        </w:rPr>
        <w:t xml:space="preserve"> items that are being considered for a package to be rolled out in January</w:t>
      </w:r>
      <w:r w:rsidRPr="3BDCFE98">
        <w:rPr>
          <w:color w:val="222222"/>
          <w:shd w:val="clear" w:color="auto" w:fill="FFFFFF"/>
        </w:rPr>
        <w:t xml:space="preserve">.</w:t>
      </w:r>
      <w:r w:rsidRPr="3BDCFE98">
        <w:rPr>
          <w:color w:val="222222"/>
          <w:shd w:val="clear" w:color="auto" w:fill="FFFFFF"/>
        </w:rPr>
        <w:t xml:space="preserve"> </w:t>
      </w:r>
      <w:r w:rsidRPr="3BDCFE98">
        <w:rPr>
          <w:color w:val="222222"/>
          <w:shd w:val="clear" w:color="auto" w:fill="FFFFFF"/>
        </w:rPr>
        <w:t xml:space="preserve">They include:</w:t>
      </w:r>
    </w:p>
    <w:p w:rsidR="00322568" w:rsidP="3BDCFE98" w:rsidRDefault="00322568" w14:paraId="105CCE72" w14:textId="4C2AFE33">
      <w:pPr>
        <w:pStyle w:val="NoSpacing"/>
        <w:numPr>
          <w:ilvl w:val="0"/>
          <w:numId w:val="43"/>
        </w:numPr>
        <w:rPr>
          <w:color w:val="222222"/>
          <w:sz w:val="24"/>
          <w:szCs w:val="24"/>
        </w:rPr>
      </w:pPr>
      <w:r w:rsidRPr="3BDCFE98">
        <w:rPr>
          <w:color w:val="222222"/>
          <w:shd w:val="clear" w:color="auto" w:fill="FFFFFF"/>
        </w:rPr>
        <w:t xml:space="preserve">changes to make TIF more available for workforce housin</w:t>
      </w:r>
      <w:r w:rsidRPr="3BDCFE98">
        <w:rPr>
          <w:color w:val="222222"/>
          <w:shd w:val="clear" w:color="auto" w:fill="FFFFFF"/>
        </w:rPr>
        <w:t xml:space="preserve">g</w:t>
      </w:r>
    </w:p>
    <w:p w:rsidR="00322568" w:rsidP="3BDCFE98" w:rsidRDefault="00322568" w14:paraId="2C450155" w14:textId="7C0B34CF">
      <w:pPr>
        <w:pStyle w:val="NoSpacing"/>
        <w:numPr>
          <w:ilvl w:val="0"/>
          <w:numId w:val="43"/>
        </w:numPr>
        <w:rPr>
          <w:color w:val="222222"/>
          <w:sz w:val="24"/>
          <w:szCs w:val="24"/>
        </w:rPr>
      </w:pPr>
      <w:r w:rsidRPr="3BDCFE98">
        <w:rPr>
          <w:color w:val="222222"/>
          <w:shd w:val="clear" w:color="auto" w:fill="FFFFFF"/>
        </w:rPr>
        <w:t xml:space="preserve">incentives for local units of government to reduce fees and red tape to encourage single family and small multifamily units that would be available to a broader range of buyers</w:t>
      </w:r>
    </w:p>
    <w:p w:rsidR="00322568" w:rsidP="3BDCFE98" w:rsidRDefault="00322568" w14:paraId="2B1EC31F" w14:textId="2F9FF756">
      <w:pPr>
        <w:pStyle w:val="NoSpacing"/>
        <w:numPr>
          <w:ilvl w:val="0"/>
          <w:numId w:val="43"/>
        </w:numPr>
        <w:rPr>
          <w:color w:val="222222"/>
          <w:sz w:val="24"/>
          <w:szCs w:val="24"/>
        </w:rPr>
      </w:pPr>
      <w:r w:rsidRPr="3BDCFE98">
        <w:rPr>
          <w:color w:val="222222"/>
          <w:shd w:val="clear" w:color="auto" w:fill="FFFFFF"/>
        </w:rPr>
        <w:t xml:space="preserve">levy limit flexibility for municipalities that encourage more workforce housing to be </w:t>
      </w:r>
      <w:r w:rsidRPr="3BDCFE98">
        <w:rPr>
          <w:color w:val="222222"/>
          <w:shd w:val="clear" w:color="auto" w:fill="FFFFFF"/>
        </w:rPr>
        <w:t>constructed.</w:t>
      </w:r>
    </w:p>
    <w:p w:rsidR="00291F7D" w:rsidP="00750DF8" w:rsidRDefault="00291F7D" w14:paraId="26E05FBB" w14:textId="08C55956">
      <w:pPr>
        <w:pStyle w:val="NoSpacing"/>
        <w:rPr>
          <w:color w:val="222222"/>
          <w:szCs w:val="24"/>
          <w:shd w:val="clear" w:color="auto" w:fill="FFFFFF"/>
        </w:rPr>
      </w:pPr>
    </w:p>
    <w:p w:rsidR="00291F7D" w:rsidP="3BDCFE98" w:rsidRDefault="00291F7D" w14:paraId="1600E7E6" w14:textId="0A99EE08">
      <w:pPr>
        <w:pStyle w:val="NoSpacing"/>
        <w:rPr>
          <w:color w:val="222222"/>
        </w:rPr>
      </w:pPr>
      <w:r w:rsidRPr="3BDCFE98">
        <w:rPr>
          <w:color w:val="222222"/>
          <w:shd w:val="clear" w:color="auto" w:fill="FFFFFF"/>
        </w:rPr>
        <w:t xml:space="preserve">Rep. Brooks and Sen. </w:t>
      </w:r>
      <w:r w:rsidRPr="3BDCFE98">
        <w:rPr>
          <w:color w:val="222222"/>
          <w:shd w:val="clear" w:color="auto" w:fill="FFFFFF"/>
        </w:rPr>
        <w:t>Feyen</w:t>
      </w:r>
      <w:r w:rsidRPr="3BDCFE98">
        <w:rPr>
          <w:color w:val="222222"/>
          <w:shd w:val="clear" w:color="auto" w:fill="FFFFFF"/>
        </w:rPr>
        <w:t xml:space="preserve"> are working hard to get those that represent builders, realtors, economic development entities</w:t>
      </w:r>
      <w:r w:rsidRPr="3BDCFE98">
        <w:rPr>
          <w:color w:val="222222"/>
          <w:shd w:val="clear" w:color="auto" w:fill="FFFFFF"/>
        </w:rPr>
        <w:t xml:space="preserve">,</w:t>
      </w:r>
      <w:r w:rsidRPr="3BDCFE98">
        <w:rPr>
          <w:color w:val="222222"/>
          <w:shd w:val="clear" w:color="auto" w:fill="FFFFFF"/>
        </w:rPr>
        <w:t xml:space="preserve"> and municipalities</w:t>
      </w:r>
      <w:r w:rsidRPr="3BDCFE98">
        <w:rPr>
          <w:color w:val="222222"/>
          <w:shd w:val="clear" w:color="auto" w:fill="FFFFFF"/>
        </w:rPr>
        <w:t xml:space="preserve">,</w:t>
      </w:r>
      <w:r w:rsidRPr="3BDCFE98">
        <w:rPr>
          <w:color w:val="222222"/>
          <w:shd w:val="clear" w:color="auto" w:fill="FFFFFF"/>
        </w:rPr>
        <w:t xml:space="preserve"> in agreement on the provisions in this bill before it is introduced. </w:t>
      </w:r>
    </w:p>
    <w:p w:rsidR="00291F7D" w:rsidP="00750DF8" w:rsidRDefault="00291F7D" w14:paraId="55B112C5" w14:textId="0529EC8E">
      <w:pPr>
        <w:pStyle w:val="NoSpacing"/>
        <w:rPr>
          <w:color w:val="222222"/>
          <w:szCs w:val="24"/>
          <w:shd w:val="clear" w:color="auto" w:fill="FFFFFF"/>
        </w:rPr>
      </w:pPr>
    </w:p>
    <w:p w:rsidR="00291F7D" w:rsidP="3BDCFE98" w:rsidRDefault="00291F7D" w14:paraId="3464C706" w14:textId="1EC00F06">
      <w:pPr>
        <w:pStyle w:val="NoSpacing"/>
        <w:rPr>
          <w:color w:val="222222"/>
        </w:rPr>
      </w:pPr>
      <w:r w:rsidRPr="3BDCFE98">
        <w:rPr>
          <w:color w:val="222222"/>
          <w:shd w:val="clear" w:color="auto" w:fill="FFFFFF"/>
        </w:rPr>
        <w:t xml:space="preserve">There will be some challenges to passing this bill prior to the end of the legislative session </w:t>
      </w:r>
      <w:r w:rsidRPr="3BDCFE98">
        <w:rPr>
          <w:color w:val="222222"/>
          <w:shd w:val="clear" w:color="auto" w:fill="FFFFFF"/>
        </w:rPr>
        <w:t xml:space="preserve">which is anticipated to be </w:t>
      </w:r>
      <w:r w:rsidRPr="3BDCFE98">
        <w:rPr>
          <w:color w:val="222222"/>
          <w:shd w:val="clear" w:color="auto" w:fill="FFFFFF"/>
        </w:rPr>
        <w:t xml:space="preserve">sometime in March.  There have been some members of the state </w:t>
      </w:r>
      <w:r w:rsidRPr="3BDCFE98">
        <w:rPr>
          <w:color w:val="222222"/>
          <w:shd w:val="clear" w:color="auto" w:fill="FFFFFF"/>
        </w:rPr>
        <w:t xml:space="preserve">S</w:t>
      </w:r>
      <w:r w:rsidRPr="3BDCFE98">
        <w:rPr>
          <w:color w:val="222222"/>
          <w:shd w:val="clear" w:color="auto" w:fill="FFFFFF"/>
        </w:rPr>
        <w:t xml:space="preserve">enate that have objected to the expansion of TIF to help aid as an additional economic development or as a tool to expand workforce housing options.  A concerted lobbying effort will </w:t>
      </w:r>
      <w:r w:rsidRPr="3BDCFE98">
        <w:rPr>
          <w:color w:val="222222"/>
          <w:shd w:val="clear" w:color="auto" w:fill="FFFFFF"/>
        </w:rPr>
        <w:t xml:space="preserve">be </w:t>
      </w:r>
      <w:r w:rsidRPr="3BDCFE98">
        <w:rPr>
          <w:color w:val="222222"/>
          <w:shd w:val="clear" w:color="auto" w:fill="FFFFFF"/>
        </w:rPr>
        <w:t>needed</w:t>
      </w:r>
      <w:r w:rsidRPr="3BDCFE98">
        <w:rPr>
          <w:color w:val="222222"/>
          <w:shd w:val="clear" w:color="auto" w:fill="FFFFFF"/>
        </w:rPr>
        <w:t xml:space="preserve"> to have a chance to get this bill signed into law in 2020. </w:t>
      </w:r>
    </w:p>
    <w:p w:rsidR="00291F7D" w:rsidP="00750DF8" w:rsidRDefault="00291F7D" w14:paraId="47FB02C5" w14:textId="03A62121">
      <w:pPr>
        <w:pStyle w:val="NoSpacing"/>
        <w:rPr>
          <w:color w:val="222222"/>
          <w:szCs w:val="24"/>
          <w:shd w:val="clear" w:color="auto" w:fill="FFFFFF"/>
        </w:rPr>
      </w:pPr>
    </w:p>
    <w:p w:rsidR="3BDCFE98" w:rsidP="3BDCFE98" w:rsidRDefault="3BDCFE98" w14:paraId="20DCB71E" w14:textId="30BD6BE0">
      <w:pPr>
        <w:pStyle w:val="NoSpacing"/>
        <w:bidi w:val="0"/>
        <w:spacing w:before="0" w:beforeAutospacing="off" w:after="0" w:afterAutospacing="off" w:line="240" w:lineRule="auto"/>
        <w:ind w:left="0" w:right="0"/>
        <w:jc w:val="left"/>
      </w:pPr>
      <w:r w:rsidRPr="3BDCFE98" w:rsidR="3BDCFE98">
        <w:rPr>
          <w:b w:val="1"/>
          <w:bCs w:val="1"/>
          <w:color w:val="222222"/>
        </w:rPr>
        <w:t>Electrical Code Changes</w:t>
      </w:r>
    </w:p>
    <w:p w:rsidR="00291F7D" w:rsidP="3BDCFE98" w:rsidRDefault="00291F7D" w14:paraId="6667A425" w14:textId="4E367D0A">
      <w:pPr>
        <w:pStyle w:val="NoSpacing"/>
        <w:rPr>
          <w:color w:val="222222"/>
        </w:rPr>
      </w:pPr>
      <w:r w:rsidRPr="3BDCFE98">
        <w:rPr>
          <w:color w:val="222222"/>
          <w:shd w:val="clear" w:color="auto" w:fill="FFFFFF"/>
        </w:rPr>
        <w:t xml:space="preserve">After a delayed effective date </w:t>
      </w:r>
      <w:r w:rsidRPr="3BDCFE98" w:rsidR="007A6188">
        <w:rPr>
          <w:color w:val="222222"/>
          <w:shd w:val="clear" w:color="auto" w:fill="FFFFFF"/>
        </w:rPr>
        <w:t xml:space="preserve">and some additional review time requested by standing committees of the legislature</w:t>
      </w:r>
      <w:r w:rsidRPr="3BDCFE98" w:rsidR="007A6188">
        <w:rPr>
          <w:color w:val="222222"/>
          <w:shd w:val="clear" w:color="auto" w:fill="FFFFFF"/>
        </w:rPr>
        <w:t xml:space="preserve">,</w:t>
      </w:r>
      <w:r w:rsidRPr="3BDCFE98" w:rsidR="007A6188">
        <w:rPr>
          <w:color w:val="222222"/>
          <w:shd w:val="clear" w:color="auto" w:fill="FFFFFF"/>
        </w:rPr>
        <w:t xml:space="preserve"> the updated electrical code for one- and two-family homes </w:t>
      </w:r>
      <w:r w:rsidRPr="3BDCFE98" w:rsidR="007A6188">
        <w:rPr>
          <w:color w:val="222222"/>
          <w:shd w:val="clear" w:color="auto" w:fill="FFFFFF"/>
        </w:rPr>
        <w:t xml:space="preserve">will go</w:t>
      </w:r>
      <w:r w:rsidRPr="3BDCFE98" w:rsidR="007A6188">
        <w:rPr>
          <w:color w:val="222222"/>
          <w:shd w:val="clear" w:color="auto" w:fill="FFFFFF"/>
        </w:rPr>
        <w:t xml:space="preserve"> into effect on January </w:t>
      </w:r>
      <w:r w:rsidRPr="3BDCFE98" w:rsidR="00D668EC">
        <w:rPr>
          <w:color w:val="222222"/>
          <w:shd w:val="clear" w:color="auto" w:fill="FFFFFF"/>
        </w:rPr>
        <w:t>2</w:t>
      </w:r>
      <w:r w:rsidRPr="3BDCFE98" w:rsidR="007A6188">
        <w:rPr>
          <w:color w:val="222222"/>
          <w:shd w:val="clear" w:color="auto" w:fill="FFFFFF"/>
        </w:rPr>
        <w:t xml:space="preserve">, 2020.  The updated code for the commercial building code has been in effect </w:t>
      </w:r>
      <w:r w:rsidRPr="3BDCFE98" w:rsidR="00D668EC">
        <w:rPr>
          <w:color w:val="222222"/>
          <w:shd w:val="clear" w:color="auto" w:fill="FFFFFF"/>
        </w:rPr>
        <w:t>since 2018 and electricians throughout the state have likely been trained on the updates to both the commercial and single-family electrical code in 2018 and 2019.</w:t>
      </w:r>
    </w:p>
    <w:p w:rsidR="00D668EC" w:rsidP="00750DF8" w:rsidRDefault="00D668EC" w14:paraId="6D81DD22" w14:textId="2A0D4FA6">
      <w:pPr>
        <w:pStyle w:val="NoSpacing"/>
        <w:rPr>
          <w:color w:val="222222"/>
          <w:szCs w:val="24"/>
          <w:shd w:val="clear" w:color="auto" w:fill="FFFFFF"/>
        </w:rPr>
      </w:pPr>
    </w:p>
    <w:p w:rsidR="00D668EC" w:rsidP="3BDCFE98" w:rsidRDefault="00D668EC" w14:paraId="5BB5552A" w14:textId="0E6C871E">
      <w:pPr>
        <w:pStyle w:val="NoSpacing"/>
        <w:rPr>
          <w:color w:val="222222"/>
        </w:rPr>
      </w:pPr>
      <w:r w:rsidRPr="3BDCFE98">
        <w:rPr>
          <w:color w:val="222222"/>
          <w:shd w:val="clear" w:color="auto" w:fill="FFFFFF"/>
        </w:rPr>
        <w:t xml:space="preserve">The Department of Safety and Professional Services recently published a document </w:t>
      </w:r>
      <w:r w:rsidRPr="3BDCFE98">
        <w:rPr>
          <w:color w:val="222222"/>
          <w:shd w:val="clear" w:color="auto" w:fill="FFFFFF"/>
        </w:rPr>
        <w:t xml:space="preserve">highlighting the changes that can be</w:t>
      </w:r>
      <w:r w:rsidRPr="3BDCFE98">
        <w:rPr>
          <w:color w:val="222222"/>
          <w:shd w:val="clear" w:color="auto" w:fill="FFFFFF"/>
        </w:rPr>
        <w:t xml:space="preserve"> </w:t>
      </w:r>
      <w:hyperlink w:history="1" r:id="R0fde77ffe0d14edb">
        <w:r w:rsidRPr="3BDCFE98">
          <w:rPr>
            <w:rStyle w:val="Hyperlink"/>
            <w:shd w:val="clear" w:color="auto" w:fill="FFFFFF"/>
          </w:rPr>
          <w:t>found here</w:t>
        </w:r>
      </w:hyperlink>
      <w:r w:rsidRPr="3BDCFE98">
        <w:rPr>
          <w:color w:val="222222"/>
          <w:shd w:val="clear" w:color="auto" w:fill="FFFFFF"/>
        </w:rPr>
        <w:t xml:space="preserve">. </w:t>
      </w:r>
    </w:p>
    <w:p w:rsidR="00D668EC" w:rsidP="00750DF8" w:rsidRDefault="00D668EC" w14:paraId="602AFFD6" w14:textId="6CA591CD">
      <w:pPr>
        <w:pStyle w:val="NoSpacing"/>
        <w:rPr>
          <w:color w:val="222222"/>
          <w:szCs w:val="24"/>
          <w:shd w:val="clear" w:color="auto" w:fill="FFFFFF"/>
        </w:rPr>
      </w:pPr>
    </w:p>
    <w:p w:rsidRPr="000D6DB1" w:rsidR="00D668EC" w:rsidP="3BDCFE98" w:rsidRDefault="000D6DB1" w14:paraId="26D7563E" w14:textId="09FA7C78">
      <w:pPr>
        <w:pStyle w:val="NoSpacing"/>
        <w:rPr>
          <w:b w:val="1"/>
          <w:bCs w:val="1"/>
          <w:color w:val="222222"/>
        </w:rPr>
      </w:pPr>
      <w:r w:rsidRPr="3BDCFE98">
        <w:rPr>
          <w:b w:val="1"/>
          <w:bCs w:val="1"/>
          <w:color w:val="222222"/>
          <w:shd w:val="clear" w:color="auto" w:fill="FFFFFF"/>
        </w:rPr>
        <w:t xml:space="preserve">NAHB </w:t>
      </w:r>
      <w:r w:rsidRPr="3BDCFE98">
        <w:rPr>
          <w:b w:val="1"/>
          <w:bCs w:val="1"/>
          <w:color w:val="222222"/>
          <w:shd w:val="clear" w:color="auto" w:fill="FFFFFF"/>
        </w:rPr>
        <w:t>L</w:t>
      </w:r>
      <w:r w:rsidRPr="3BDCFE98">
        <w:rPr>
          <w:b w:val="1"/>
          <w:bCs w:val="1"/>
          <w:color w:val="222222"/>
          <w:shd w:val="clear" w:color="auto" w:fill="FFFFFF"/>
        </w:rPr>
        <w:t xml:space="preserve">aunches </w:t>
      </w:r>
      <w:r w:rsidRPr="3BDCFE98">
        <w:rPr>
          <w:b w:val="1"/>
          <w:bCs w:val="1"/>
          <w:color w:val="222222"/>
          <w:shd w:val="clear" w:color="auto" w:fill="FFFFFF"/>
        </w:rPr>
        <w:t>N</w:t>
      </w:r>
      <w:r w:rsidRPr="3BDCFE98">
        <w:rPr>
          <w:b w:val="1"/>
          <w:bCs w:val="1"/>
          <w:color w:val="222222"/>
          <w:shd w:val="clear" w:color="auto" w:fill="FFFFFF"/>
        </w:rPr>
        <w:t>ew Podcast</w:t>
      </w:r>
    </w:p>
    <w:p w:rsidR="00D668EC" w:rsidP="3BDCFE98" w:rsidRDefault="000D6DB1" w14:paraId="3955407A" w14:textId="747CD386">
      <w:pPr>
        <w:pStyle w:val="NoSpacing"/>
        <w:rPr>
          <w:color w:val="222222"/>
        </w:rPr>
      </w:pPr>
      <w:r w:rsidRPr="3BDCFE98">
        <w:rPr>
          <w:color w:val="222222"/>
          <w:shd w:val="clear" w:color="auto" w:fill="FFFFFF"/>
        </w:rPr>
        <w:t xml:space="preserve">Recently</w:t>
      </w:r>
      <w:r w:rsidRPr="3BDCFE98">
        <w:rPr>
          <w:color w:val="222222"/>
          <w:shd w:val="clear" w:color="auto" w:fill="FFFFFF"/>
        </w:rPr>
        <w:t xml:space="preserve">,</w:t>
      </w:r>
      <w:r w:rsidRPr="3BDCFE98">
        <w:rPr>
          <w:color w:val="222222"/>
          <w:shd w:val="clear" w:color="auto" w:fill="FFFFFF"/>
        </w:rPr>
        <w:t xml:space="preserve"> the National Association of Home Builders (NAHB) announced a new podcast called the “Housing Developments Podcast.” </w:t>
      </w:r>
    </w:p>
    <w:p w:rsidRPr="00291F7D" w:rsidR="00D668EC" w:rsidP="00750DF8" w:rsidRDefault="00D668EC" w14:paraId="45E5EFDD" w14:textId="77777777">
      <w:pPr>
        <w:pStyle w:val="NoSpacing"/>
        <w:rPr>
          <w:color w:val="222222"/>
          <w:szCs w:val="24"/>
          <w:shd w:val="clear" w:color="auto" w:fill="FFFFFF"/>
        </w:rPr>
      </w:pPr>
    </w:p>
    <w:p w:rsidR="000D6DB1" w:rsidP="00750DF8" w:rsidRDefault="000D6DB1" w14:paraId="5C3636D2" w14:textId="77777777">
      <w:pPr>
        <w:pStyle w:val="NoSpacing"/>
        <w:rPr>
          <w:color w:val="222222"/>
          <w:szCs w:val="24"/>
          <w:shd w:val="clear" w:color="auto" w:fill="FFFFFF"/>
        </w:rPr>
      </w:pPr>
      <w:r w:rsidRPr="000D6DB1">
        <w:rPr>
          <w:color w:val="222222"/>
          <w:szCs w:val="24"/>
          <w:shd w:val="clear" w:color="auto" w:fill="FFFFFF"/>
        </w:rPr>
        <w:lastRenderedPageBreak/>
        <w:t xml:space="preserve">The podcast is presented by NAHB CEO Jerry Howard and NAHB Chief Lobbyist Jim Tobin and includes topics on housing affordability, housing economics, workforce development issues, and the state of the residential construction industry.  </w:t>
      </w:r>
    </w:p>
    <w:p w:rsidR="000D6DB1" w:rsidP="00750DF8" w:rsidRDefault="000D6DB1" w14:paraId="47B711C7" w14:textId="77777777">
      <w:pPr>
        <w:pStyle w:val="NoSpacing"/>
        <w:rPr>
          <w:color w:val="222222"/>
          <w:szCs w:val="24"/>
          <w:shd w:val="clear" w:color="auto" w:fill="FFFFFF"/>
        </w:rPr>
      </w:pPr>
    </w:p>
    <w:p w:rsidR="00322568" w:rsidP="00750DF8" w:rsidRDefault="000D6DB1" w14:paraId="328DB741" w14:textId="04335E62">
      <w:pPr>
        <w:pStyle w:val="NoSpacing"/>
        <w:rPr>
          <w:color w:val="222222"/>
          <w:szCs w:val="24"/>
          <w:shd w:val="clear" w:color="auto" w:fill="FFFFFF"/>
        </w:rPr>
      </w:pPr>
      <w:hyperlink w:history="1" r:id="rId11">
        <w:r w:rsidRPr="000D6DB1">
          <w:rPr>
            <w:rStyle w:val="Hyperlink"/>
            <w:szCs w:val="24"/>
            <w:shd w:val="clear" w:color="auto" w:fill="FFFFFF"/>
          </w:rPr>
          <w:t xml:space="preserve">Click </w:t>
        </w:r>
        <w:r w:rsidRPr="000D6DB1">
          <w:rPr>
            <w:rStyle w:val="Hyperlink"/>
            <w:szCs w:val="24"/>
            <w:shd w:val="clear" w:color="auto" w:fill="FFFFFF"/>
          </w:rPr>
          <w:t>here</w:t>
        </w:r>
      </w:hyperlink>
      <w:r>
        <w:rPr>
          <w:color w:val="222222"/>
          <w:szCs w:val="24"/>
          <w:shd w:val="clear" w:color="auto" w:fill="FFFFFF"/>
        </w:rPr>
        <w:t xml:space="preserve"> </w:t>
      </w:r>
      <w:r w:rsidRPr="000D6DB1">
        <w:rPr>
          <w:color w:val="222222"/>
          <w:szCs w:val="24"/>
          <w:shd w:val="clear" w:color="auto" w:fill="FFFFFF"/>
        </w:rPr>
        <w:t xml:space="preserve">to access the podcast or search for it on any of the platforms that you chose for podcasts </w:t>
      </w:r>
      <w:r>
        <w:rPr>
          <w:color w:val="222222"/>
          <w:szCs w:val="24"/>
          <w:shd w:val="clear" w:color="auto" w:fill="FFFFFF"/>
        </w:rPr>
        <w:t xml:space="preserve">for great up to date information on what NAHB is up to on your behalf in Washington D.C. </w:t>
      </w:r>
    </w:p>
    <w:p w:rsidR="00294216" w:rsidP="00750DF8" w:rsidRDefault="00294216" w14:paraId="41B884CE" w14:textId="5ECBBD4F">
      <w:pPr>
        <w:pStyle w:val="NoSpacing"/>
        <w:rPr>
          <w:color w:val="222222"/>
          <w:szCs w:val="24"/>
          <w:shd w:val="clear" w:color="auto" w:fill="FFFFFF"/>
        </w:rPr>
      </w:pPr>
    </w:p>
    <w:p w:rsidRPr="00294216" w:rsidR="00294216" w:rsidP="00294216" w:rsidRDefault="00294216" w14:paraId="3BF0C71A" w14:textId="497DBAC8">
      <w:pPr>
        <w:pStyle w:val="NoSpacing"/>
        <w:rPr>
          <w:b/>
          <w:bCs/>
          <w:shd w:val="clear" w:color="auto" w:fill="FFFFFF"/>
        </w:rPr>
      </w:pPr>
      <w:r w:rsidRPr="00294216">
        <w:rPr>
          <w:b/>
          <w:bCs/>
          <w:shd w:val="clear" w:color="auto" w:fill="FFFFFF"/>
        </w:rPr>
        <w:t xml:space="preserve">From NAHB: </w:t>
      </w:r>
      <w:r w:rsidRPr="00294216">
        <w:rPr>
          <w:b/>
          <w:bCs/>
          <w:shd w:val="clear" w:color="auto" w:fill="FFFFFF"/>
        </w:rPr>
        <w:t>Congress Poised to Revive Expired Tax Extenders, Make Other Key Tax Changes</w:t>
      </w:r>
      <w:r w:rsidRPr="00294216">
        <w:rPr>
          <w:b/>
          <w:bCs/>
          <w:shd w:val="clear" w:color="auto" w:fill="FFFFFF"/>
        </w:rPr>
        <w:t xml:space="preserve"> </w:t>
      </w:r>
    </w:p>
    <w:p w:rsidR="00294216" w:rsidP="00294216" w:rsidRDefault="00294216" w14:paraId="4D2F1B9F" w14:textId="51D0360D">
      <w:pPr>
        <w:pStyle w:val="NoSpacing"/>
      </w:pPr>
      <w:r>
        <w:rPr>
          <w:shd w:val="clear" w:color="auto" w:fill="FFFFFF"/>
        </w:rPr>
        <w:t>Recently</w:t>
      </w:r>
      <w:r w:rsidRPr="00294216">
        <w:rPr>
          <w:shd w:val="clear" w:color="auto" w:fill="FFFFFF"/>
        </w:rPr>
        <w:t xml:space="preserve"> congressional and White House negotiators agreed to a package of tax changes that include </w:t>
      </w:r>
      <w:proofErr w:type="gramStart"/>
      <w:r w:rsidRPr="00294216">
        <w:rPr>
          <w:shd w:val="clear" w:color="auto" w:fill="FFFFFF"/>
        </w:rPr>
        <w:t>a number of</w:t>
      </w:r>
      <w:proofErr w:type="gramEnd"/>
      <w:r w:rsidRPr="00294216">
        <w:rPr>
          <w:shd w:val="clear" w:color="auto" w:fill="FFFFFF"/>
        </w:rPr>
        <w:t xml:space="preserve"> provisions sought by NAHB, including a series of temporary tax provisions known as “tax extenders.” Congress is expected to approve the package in the coming days and send it for the president’s expected signature</w:t>
      </w:r>
      <w:r w:rsidR="009F0EDF">
        <w:rPr>
          <w:shd w:val="clear" w:color="auto" w:fill="FFFFFF"/>
        </w:rPr>
        <w:t>.</w:t>
      </w:r>
    </w:p>
    <w:p w:rsidRPr="00294216" w:rsidR="00294216" w:rsidP="00294216" w:rsidRDefault="00294216" w14:paraId="469693BD" w14:textId="77777777">
      <w:pPr>
        <w:pStyle w:val="NoSpacing"/>
      </w:pPr>
    </w:p>
    <w:p w:rsidRPr="00294216" w:rsidR="00294216" w:rsidP="00294216" w:rsidRDefault="00294216" w14:paraId="19844F51" w14:textId="14D1BC3D">
      <w:pPr>
        <w:pStyle w:val="NormalWeb"/>
        <w:shd w:val="clear" w:color="auto" w:fill="FFFFFF"/>
        <w:spacing w:before="0" w:beforeAutospacing="0" w:after="225" w:afterAutospacing="0"/>
        <w:rPr>
          <w:rFonts w:ascii="Liberation Sans" w:hAnsi="Liberation Sans"/>
        </w:rPr>
      </w:pPr>
      <w:r w:rsidRPr="00294216">
        <w:rPr>
          <w:rFonts w:ascii="Liberation Sans" w:hAnsi="Liberation Sans"/>
        </w:rPr>
        <w:t xml:space="preserve">The tax extenders section of the bill contains </w:t>
      </w:r>
      <w:proofErr w:type="gramStart"/>
      <w:r w:rsidRPr="00294216">
        <w:rPr>
          <w:rFonts w:ascii="Liberation Sans" w:hAnsi="Liberation Sans"/>
        </w:rPr>
        <w:t>a number of</w:t>
      </w:r>
      <w:proofErr w:type="gramEnd"/>
      <w:r w:rsidRPr="00294216">
        <w:rPr>
          <w:rFonts w:ascii="Liberation Sans" w:hAnsi="Liberation Sans"/>
        </w:rPr>
        <w:t xml:space="preserve"> temporary tax items that expired at the end of 2017. The legislation would retroactively reinstate in 2018 and 2019, and extend the following tax provisions through 2020:</w:t>
      </w:r>
    </w:p>
    <w:p w:rsidRPr="00294216" w:rsidR="00294216" w:rsidP="00294216" w:rsidRDefault="00294216" w14:paraId="03E398E4" w14:textId="77777777">
      <w:pPr>
        <w:numPr>
          <w:ilvl w:val="0"/>
          <w:numId w:val="42"/>
        </w:numPr>
        <w:shd w:val="clear" w:color="auto" w:fill="FFFFFF"/>
        <w:spacing w:after="30" w:line="240" w:lineRule="auto"/>
        <w:ind w:left="300"/>
        <w:rPr>
          <w:rFonts w:ascii="Liberation Sans" w:hAnsi="Liberation Sans"/>
          <w:sz w:val="24"/>
          <w:szCs w:val="24"/>
        </w:rPr>
      </w:pPr>
      <w:r w:rsidRPr="00294216">
        <w:rPr>
          <w:rStyle w:val="Strong"/>
          <w:rFonts w:ascii="Liberation Sans" w:hAnsi="Liberation Sans"/>
          <w:sz w:val="24"/>
          <w:szCs w:val="24"/>
        </w:rPr>
        <w:t>Deduction for Mortgage Insurance.</w:t>
      </w:r>
      <w:r w:rsidRPr="00294216">
        <w:rPr>
          <w:rFonts w:ascii="Liberation Sans" w:hAnsi="Liberation Sans"/>
          <w:sz w:val="24"/>
          <w:szCs w:val="24"/>
        </w:rPr>
        <w:t> Allows taxpayers, subject to an income cap beginning at $100,000, to deduct premiums paid for private mortgage insurance and FHA/RHA/VA insurance premiums.</w:t>
      </w:r>
    </w:p>
    <w:p w:rsidRPr="00294216" w:rsidR="00294216" w:rsidP="00294216" w:rsidRDefault="00294216" w14:paraId="4D6D1AB9" w14:textId="77777777">
      <w:pPr>
        <w:numPr>
          <w:ilvl w:val="0"/>
          <w:numId w:val="42"/>
        </w:numPr>
        <w:shd w:val="clear" w:color="auto" w:fill="FFFFFF"/>
        <w:spacing w:after="30" w:line="240" w:lineRule="auto"/>
        <w:ind w:left="300"/>
        <w:rPr>
          <w:rFonts w:ascii="Liberation Sans" w:hAnsi="Liberation Sans"/>
          <w:sz w:val="24"/>
          <w:szCs w:val="24"/>
        </w:rPr>
      </w:pPr>
      <w:r w:rsidRPr="00294216">
        <w:rPr>
          <w:rStyle w:val="Strong"/>
          <w:rFonts w:ascii="Liberation Sans" w:hAnsi="Liberation Sans"/>
          <w:sz w:val="24"/>
          <w:szCs w:val="24"/>
        </w:rPr>
        <w:t>Section 45L Tax Credit for Energy-Efficient New Homes</w:t>
      </w:r>
      <w:r w:rsidRPr="00294216">
        <w:rPr>
          <w:rFonts w:ascii="Liberation Sans" w:hAnsi="Liberation Sans"/>
          <w:sz w:val="24"/>
          <w:szCs w:val="24"/>
        </w:rPr>
        <w:t>. Provides builders a $2,000 tax credit for the construction of homes exceeding heating and cooling energy standards by 50%. The base energy code is the 2006 International Energy Conservation Code plus supplements. Builders must have </w:t>
      </w:r>
      <w:hyperlink w:tgtFrame="_blank" w:history="1" r:id="rId12">
        <w:r w:rsidRPr="00294216">
          <w:rPr>
            <w:rStyle w:val="Hyperlink"/>
            <w:rFonts w:ascii="Liberation Sans" w:hAnsi="Liberation Sans"/>
            <w:color w:val="auto"/>
            <w:sz w:val="24"/>
            <w:szCs w:val="24"/>
            <w:u w:val="none"/>
          </w:rPr>
          <w:t>tax basis</w:t>
        </w:r>
      </w:hyperlink>
      <w:r w:rsidRPr="00294216">
        <w:rPr>
          <w:rFonts w:ascii="Liberation Sans" w:hAnsi="Liberation Sans"/>
          <w:sz w:val="24"/>
          <w:szCs w:val="24"/>
        </w:rPr>
        <w:t> in the home to claim the credit (i.e., they must own and then sell/lease the residence).</w:t>
      </w:r>
    </w:p>
    <w:p w:rsidRPr="00294216" w:rsidR="00294216" w:rsidP="00294216" w:rsidRDefault="00294216" w14:paraId="6DA71860" w14:textId="77777777">
      <w:pPr>
        <w:numPr>
          <w:ilvl w:val="0"/>
          <w:numId w:val="42"/>
        </w:numPr>
        <w:shd w:val="clear" w:color="auto" w:fill="FFFFFF"/>
        <w:spacing w:after="30" w:line="240" w:lineRule="auto"/>
        <w:ind w:left="300"/>
        <w:rPr>
          <w:rFonts w:ascii="Liberation Sans" w:hAnsi="Liberation Sans"/>
          <w:sz w:val="24"/>
          <w:szCs w:val="24"/>
        </w:rPr>
      </w:pPr>
      <w:r w:rsidRPr="00294216">
        <w:rPr>
          <w:rStyle w:val="Strong"/>
          <w:rFonts w:ascii="Liberation Sans" w:hAnsi="Liberation Sans"/>
          <w:sz w:val="24"/>
          <w:szCs w:val="24"/>
        </w:rPr>
        <w:t>Section 25C Tax Credit for Qualified Energy-Efficiency Improvements</w:t>
      </w:r>
      <w:r w:rsidRPr="00294216">
        <w:rPr>
          <w:rFonts w:ascii="Liberation Sans" w:hAnsi="Liberation Sans"/>
          <w:sz w:val="24"/>
          <w:szCs w:val="24"/>
        </w:rPr>
        <w:t>. Offers a credit worth up to $500 (subject to a $500 lifetime cap), with lower caps for certain products, such as windows, for consumers to install qualified energy-efficient upgrades.</w:t>
      </w:r>
    </w:p>
    <w:p w:rsidRPr="00294216" w:rsidR="00294216" w:rsidP="00294216" w:rsidRDefault="00294216" w14:paraId="3E5F0DAA" w14:textId="77777777">
      <w:pPr>
        <w:numPr>
          <w:ilvl w:val="0"/>
          <w:numId w:val="42"/>
        </w:numPr>
        <w:shd w:val="clear" w:color="auto" w:fill="FFFFFF"/>
        <w:spacing w:after="30" w:line="240" w:lineRule="auto"/>
        <w:ind w:left="300"/>
        <w:rPr>
          <w:rFonts w:ascii="Liberation Sans" w:hAnsi="Liberation Sans"/>
          <w:sz w:val="24"/>
          <w:szCs w:val="24"/>
        </w:rPr>
      </w:pPr>
      <w:r w:rsidRPr="00294216">
        <w:rPr>
          <w:rStyle w:val="Strong"/>
          <w:rFonts w:ascii="Liberation Sans" w:hAnsi="Liberation Sans"/>
          <w:sz w:val="24"/>
          <w:szCs w:val="24"/>
        </w:rPr>
        <w:t>Mortgage Forgiveness Tax Relief</w:t>
      </w:r>
      <w:r w:rsidRPr="00294216">
        <w:rPr>
          <w:rFonts w:ascii="Liberation Sans" w:hAnsi="Liberation Sans"/>
          <w:sz w:val="24"/>
          <w:szCs w:val="24"/>
        </w:rPr>
        <w:t xml:space="preserve">. Eliminates any taxes </w:t>
      </w:r>
      <w:proofErr w:type="gramStart"/>
      <w:r w:rsidRPr="00294216">
        <w:rPr>
          <w:rFonts w:ascii="Liberation Sans" w:hAnsi="Liberation Sans"/>
          <w:sz w:val="24"/>
          <w:szCs w:val="24"/>
        </w:rPr>
        <w:t>home owners</w:t>
      </w:r>
      <w:proofErr w:type="gramEnd"/>
      <w:r w:rsidRPr="00294216">
        <w:rPr>
          <w:rFonts w:ascii="Liberation Sans" w:hAnsi="Liberation Sans"/>
          <w:sz w:val="24"/>
          <w:szCs w:val="24"/>
        </w:rPr>
        <w:t xml:space="preserve"> might face because of renegotiating the terms of a home loan, which result in forgiving or canceling a portion of the outstanding loan balance, particularly in connection with short sales. It applies only to principal residences.</w:t>
      </w:r>
    </w:p>
    <w:p w:rsidR="00294216" w:rsidP="00294216" w:rsidRDefault="00294216" w14:paraId="5F9C1716" w14:textId="3BB66278">
      <w:pPr>
        <w:numPr>
          <w:ilvl w:val="0"/>
          <w:numId w:val="42"/>
        </w:numPr>
        <w:shd w:val="clear" w:color="auto" w:fill="FFFFFF"/>
        <w:spacing w:after="30" w:line="240" w:lineRule="auto"/>
        <w:ind w:left="300"/>
        <w:rPr>
          <w:rFonts w:ascii="Liberation Sans" w:hAnsi="Liberation Sans"/>
          <w:sz w:val="24"/>
          <w:szCs w:val="24"/>
        </w:rPr>
      </w:pPr>
      <w:r w:rsidRPr="00294216">
        <w:rPr>
          <w:rStyle w:val="Strong"/>
          <w:rFonts w:ascii="Liberation Sans" w:hAnsi="Liberation Sans"/>
          <w:sz w:val="24"/>
          <w:szCs w:val="24"/>
        </w:rPr>
        <w:t>Section 179D Energy-Efficient Commercial Buildings Deduction</w:t>
      </w:r>
      <w:r w:rsidRPr="00294216">
        <w:rPr>
          <w:rFonts w:ascii="Liberation Sans" w:hAnsi="Liberation Sans"/>
          <w:sz w:val="24"/>
          <w:szCs w:val="24"/>
        </w:rPr>
        <w:t>. Provides a deduction of up to $1.80 per square foot for commercial and multifamily buildings that exceed specific energy-efficiency requirements under ASHRAE 2007.</w:t>
      </w:r>
    </w:p>
    <w:p w:rsidRPr="00294216" w:rsidR="009F0EDF" w:rsidP="009F0EDF" w:rsidRDefault="009F0EDF" w14:paraId="5EEC75F3" w14:textId="77777777">
      <w:pPr>
        <w:shd w:val="clear" w:color="auto" w:fill="FFFFFF"/>
        <w:spacing w:after="30" w:line="240" w:lineRule="auto"/>
        <w:ind w:left="300"/>
        <w:rPr>
          <w:rFonts w:ascii="Liberation Sans" w:hAnsi="Liberation Sans"/>
          <w:sz w:val="24"/>
          <w:szCs w:val="24"/>
        </w:rPr>
      </w:pPr>
      <w:bookmarkStart w:name="_GoBack" w:id="0"/>
      <w:bookmarkEnd w:id="0"/>
    </w:p>
    <w:p w:rsidRPr="00294216" w:rsidR="00294216" w:rsidP="00294216" w:rsidRDefault="00294216" w14:paraId="022E8927" w14:textId="77777777">
      <w:pPr>
        <w:pStyle w:val="NormalWeb"/>
        <w:shd w:val="clear" w:color="auto" w:fill="FFFFFF"/>
        <w:spacing w:before="0" w:beforeAutospacing="0" w:after="225" w:afterAutospacing="0"/>
        <w:rPr>
          <w:rFonts w:ascii="Liberation Sans" w:hAnsi="Liberation Sans"/>
        </w:rPr>
      </w:pPr>
      <w:r w:rsidRPr="00294216">
        <w:rPr>
          <w:rFonts w:ascii="Liberation Sans" w:hAnsi="Liberation Sans"/>
        </w:rPr>
        <w:t>The legislation also includes the Setting Every Community Up for Retirement Enhancement (SECURE) Act, which passed the House earlier this year. The SECURE Act is intended to reduce the administrative costs of small businesses offering their employees retirement savings plans. The SECURE Act will give small businesses a more cost-effective tool to offer retirement benefits by combining their buying power in the form of Open Multiple Employer Plans.</w:t>
      </w:r>
    </w:p>
    <w:p w:rsidRPr="00294216" w:rsidR="00294216" w:rsidP="00294216" w:rsidRDefault="00294216" w14:paraId="4E504EB2" w14:textId="77777777">
      <w:pPr>
        <w:pStyle w:val="NormalWeb"/>
        <w:shd w:val="clear" w:color="auto" w:fill="FFFFFF"/>
        <w:spacing w:before="0" w:beforeAutospacing="0" w:after="225" w:afterAutospacing="0"/>
        <w:rPr>
          <w:rFonts w:ascii="Liberation Sans" w:hAnsi="Liberation Sans"/>
        </w:rPr>
      </w:pPr>
      <w:r w:rsidRPr="00294216">
        <w:rPr>
          <w:rFonts w:ascii="Liberation Sans" w:hAnsi="Liberation Sans"/>
        </w:rPr>
        <w:t>The bill further provides temporary tax relief for individuals and businesses in federally declared disaster areas occurring between Jan. 1, 2018, and 30 days following the enactment of the legislation. These provisions allow certain early penalty-free withdrawals from retirement plans, provide an employee retention tax credit for employers, and offer automatic adjustments to tax filing deadlines, among other changes. The bill also includes a provision to provide additional low-income housing tax credit allocations related to certain 2017 and 2018 California disasters.</w:t>
      </w:r>
    </w:p>
    <w:p w:rsidRPr="00294216" w:rsidR="00294216" w:rsidP="00294216" w:rsidRDefault="00294216" w14:paraId="79E7DEFA" w14:textId="77777777">
      <w:pPr>
        <w:pStyle w:val="NormalWeb"/>
        <w:shd w:val="clear" w:color="auto" w:fill="FFFFFF"/>
        <w:spacing w:before="0" w:beforeAutospacing="0" w:after="225" w:afterAutospacing="0"/>
        <w:rPr>
          <w:rFonts w:ascii="Liberation Sans" w:hAnsi="Liberation Sans"/>
        </w:rPr>
      </w:pPr>
      <w:r w:rsidRPr="00294216">
        <w:rPr>
          <w:rFonts w:ascii="Liberation Sans" w:hAnsi="Liberation Sans"/>
        </w:rPr>
        <w:t>The tax package will also repeal a provision related to certain </w:t>
      </w:r>
      <w:hyperlink w:history="1" r:id="rId13">
        <w:r w:rsidRPr="00294216">
          <w:rPr>
            <w:rStyle w:val="Hyperlink"/>
            <w:rFonts w:ascii="Liberation Sans" w:hAnsi="Liberation Sans"/>
            <w:color w:val="auto"/>
            <w:u w:val="none"/>
          </w:rPr>
          <w:t>employee transportation fringe benefits</w:t>
        </w:r>
      </w:hyperlink>
      <w:r w:rsidRPr="00294216">
        <w:rPr>
          <w:rFonts w:ascii="Liberation Sans" w:hAnsi="Liberation Sans"/>
        </w:rPr>
        <w:t> offered by non-profit organizations, including trade associations. The Tax Cuts and Jobs Act of 2017 imposed the corporate tax rate of 21% on the value of employer-provided transportation benefits, including parking, or certain other subsidy programs. The bill repeals that tax change for non-profit employers retroactively, which should allow non-profit entities to collect back any taxes paid in 2018.</w:t>
      </w:r>
    </w:p>
    <w:p w:rsidRPr="00294216" w:rsidR="00294216" w:rsidP="00294216" w:rsidRDefault="00294216" w14:paraId="4F620545" w14:textId="77777777">
      <w:pPr>
        <w:pStyle w:val="NormalWeb"/>
        <w:shd w:val="clear" w:color="auto" w:fill="FFFFFF"/>
        <w:spacing w:before="0" w:beforeAutospacing="0" w:after="225" w:afterAutospacing="0"/>
        <w:rPr>
          <w:rFonts w:ascii="Liberation Sans" w:hAnsi="Liberation Sans"/>
        </w:rPr>
      </w:pPr>
      <w:r w:rsidRPr="00294216">
        <w:rPr>
          <w:rFonts w:ascii="Liberation Sans" w:hAnsi="Liberation Sans"/>
        </w:rPr>
        <w:t>For more information, contact </w:t>
      </w:r>
      <w:hyperlink w:history="1" r:id="rId14">
        <w:r w:rsidRPr="00294216">
          <w:rPr>
            <w:rStyle w:val="Hyperlink"/>
            <w:rFonts w:ascii="Liberation Sans" w:hAnsi="Liberation Sans"/>
            <w:color w:val="auto"/>
            <w:u w:val="none"/>
          </w:rPr>
          <w:t>J.P. Delmore</w:t>
        </w:r>
      </w:hyperlink>
      <w:r w:rsidRPr="00294216">
        <w:rPr>
          <w:rFonts w:ascii="Liberation Sans" w:hAnsi="Liberation Sans"/>
        </w:rPr>
        <w:t> at 800-368-5242 x8412.</w:t>
      </w:r>
    </w:p>
    <w:p w:rsidRPr="00294216" w:rsidR="00294216" w:rsidP="00750DF8" w:rsidRDefault="00294216" w14:paraId="492A5DCF" w14:textId="77777777">
      <w:pPr>
        <w:pStyle w:val="NoSpacing"/>
        <w:rPr>
          <w:szCs w:val="24"/>
          <w:shd w:val="clear" w:color="auto" w:fill="FFFFFF"/>
        </w:rPr>
      </w:pPr>
    </w:p>
    <w:p w:rsidRPr="00294216" w:rsidR="00322568" w:rsidP="00750DF8" w:rsidRDefault="00322568" w14:paraId="25E08C0A" w14:textId="77777777">
      <w:pPr>
        <w:pStyle w:val="NoSpacing"/>
        <w:rPr>
          <w:szCs w:val="24"/>
          <w:shd w:val="clear" w:color="auto" w:fill="FFFFFF"/>
        </w:rPr>
      </w:pPr>
    </w:p>
    <w:p w:rsidRPr="00907741" w:rsidR="00B66787" w:rsidP="00B66787" w:rsidRDefault="00B66787" w14:paraId="64D616BE" w14:textId="77777777">
      <w:pPr>
        <w:pStyle w:val="NoSpacing"/>
        <w:ind w:left="720"/>
        <w:rPr>
          <w:rFonts w:eastAsia="Times New Roman" w:cs="Helvetica"/>
          <w:b/>
          <w:bCs/>
          <w:color w:val="FF0000"/>
          <w:sz w:val="28"/>
          <w:szCs w:val="28"/>
        </w:rPr>
      </w:pPr>
    </w:p>
    <w:tbl>
      <w:tblPr>
        <w:tblW w:w="5000" w:type="pct"/>
        <w:tblCellSpacing w:w="0" w:type="dxa"/>
        <w:tblCellMar>
          <w:left w:w="0" w:type="dxa"/>
          <w:right w:w="0" w:type="dxa"/>
        </w:tblCellMar>
        <w:tblLook w:val="04A0" w:firstRow="1" w:lastRow="0" w:firstColumn="1" w:lastColumn="0" w:noHBand="0" w:noVBand="1"/>
      </w:tblPr>
      <w:tblGrid>
        <w:gridCol w:w="9648"/>
      </w:tblGrid>
      <w:tr w:rsidR="00B66787" w:rsidTr="00F55FE9" w14:paraId="3B94FDC1" w14:textId="77777777">
        <w:trPr>
          <w:tblCellSpacing w:w="0" w:type="dxa"/>
        </w:trPr>
        <w:tc>
          <w:tcPr>
            <w:tcW w:w="7500" w:type="dxa"/>
            <w:tcMar>
              <w:top w:w="150" w:type="dxa"/>
              <w:left w:w="150" w:type="dxa"/>
              <w:bottom w:w="150" w:type="dxa"/>
              <w:right w:w="150" w:type="dxa"/>
            </w:tcMar>
            <w:hideMark/>
          </w:tcPr>
          <w:p w:rsidR="00B66787" w:rsidP="00F55FE9" w:rsidRDefault="00B66787" w14:paraId="043372E2" w14:textId="77777777">
            <w:pPr>
              <w:pStyle w:val="NormalWeb"/>
              <w:spacing w:before="0" w:beforeAutospacing="0" w:after="160" w:afterAutospacing="0"/>
              <w:jc w:val="center"/>
              <w:rPr>
                <w:rStyle w:val="Strong"/>
                <w:color w:val="4575B3"/>
              </w:rPr>
            </w:pPr>
          </w:p>
          <w:p w:rsidR="00B66787" w:rsidP="00F55FE9" w:rsidRDefault="00B66787" w14:paraId="44CB053E" w14:textId="77777777">
            <w:pPr>
              <w:pStyle w:val="NormalWeb"/>
              <w:spacing w:before="0" w:beforeAutospacing="0" w:after="160" w:afterAutospacing="0"/>
              <w:jc w:val="center"/>
              <w:rPr>
                <w:rFonts w:ascii="Verdana" w:hAnsi="Verdana"/>
                <w:color w:val="4575B3"/>
                <w:sz w:val="18"/>
                <w:szCs w:val="18"/>
              </w:rPr>
            </w:pPr>
          </w:p>
        </w:tc>
      </w:tr>
      <w:tr w:rsidR="00B66787" w:rsidTr="00B66787" w14:paraId="2C2743F4" w14:textId="77777777">
        <w:trPr>
          <w:trHeight w:val="1488"/>
          <w:tblCellSpacing w:w="0" w:type="dxa"/>
        </w:trPr>
        <w:tc>
          <w:tcPr>
            <w:tcW w:w="7500" w:type="dxa"/>
            <w:tcMar>
              <w:top w:w="150" w:type="dxa"/>
              <w:left w:w="150" w:type="dxa"/>
              <w:bottom w:w="150" w:type="dxa"/>
              <w:right w:w="150" w:type="dxa"/>
            </w:tcMar>
            <w:hideMark/>
          </w:tcPr>
          <w:p w:rsidR="00B66787" w:rsidP="00F55FE9" w:rsidRDefault="00B66787" w14:paraId="5DD7B3F9" w14:textId="77777777">
            <w:pPr>
              <w:pStyle w:val="NormalWeb"/>
              <w:spacing w:before="0" w:beforeAutospacing="0" w:after="160" w:afterAutospacing="0"/>
              <w:rPr>
                <w:rFonts w:ascii="Verdana" w:hAnsi="Verdana"/>
                <w:sz w:val="18"/>
                <w:szCs w:val="18"/>
              </w:rPr>
            </w:pPr>
            <w:r>
              <w:rPr>
                <w:rFonts w:ascii="Verdana" w:hAnsi="Verdana"/>
                <w:sz w:val="18"/>
                <w:szCs w:val="18"/>
              </w:rPr>
              <w:t> </w:t>
            </w:r>
          </w:p>
          <w:p w:rsidR="00B66787" w:rsidP="00F55FE9" w:rsidRDefault="00B66787" w14:paraId="68D0C520" w14:textId="5179A6B7">
            <w:pPr>
              <w:jc w:val="center"/>
              <w:rPr>
                <w:rFonts w:ascii="Verdana" w:hAnsi="Verdana"/>
                <w:sz w:val="18"/>
                <w:szCs w:val="18"/>
              </w:rPr>
            </w:pPr>
          </w:p>
        </w:tc>
      </w:tr>
    </w:tbl>
    <w:p w:rsidRPr="00B66787" w:rsidR="00B66787" w:rsidP="00750DF8" w:rsidRDefault="00B66787" w14:paraId="4D6F48EB" w14:textId="77777777">
      <w:pPr>
        <w:pStyle w:val="NoSpacing"/>
        <w:rPr>
          <w:rFonts w:eastAsia="Times New Roman" w:cs="Helvetica"/>
          <w:b/>
          <w:bCs/>
          <w:szCs w:val="24"/>
        </w:rPr>
      </w:pPr>
    </w:p>
    <w:sectPr w:rsidRPr="00B66787" w:rsidR="00B66787" w:rsidSect="00D029AD">
      <w:footerReference w:type="default" r:id="rId15"/>
      <w:pgSz w:w="12240" w:h="15840" w:orient="portrait"/>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82B" w:rsidP="008F1359" w:rsidRDefault="0046382B" w14:paraId="416F9DFF" w14:textId="77777777">
      <w:pPr>
        <w:spacing w:after="0" w:line="240" w:lineRule="auto"/>
      </w:pPr>
      <w:r>
        <w:separator/>
      </w:r>
    </w:p>
  </w:endnote>
  <w:endnote w:type="continuationSeparator" w:id="0">
    <w:p w:rsidR="0046382B" w:rsidP="008F1359" w:rsidRDefault="0046382B" w14:paraId="7B71D0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5311918"/>
      <w:docPartObj>
        <w:docPartGallery w:val="Page Numbers (Bottom of Page)"/>
        <w:docPartUnique/>
      </w:docPartObj>
    </w:sdtPr>
    <w:sdtEndPr>
      <w:rPr>
        <w:noProof/>
      </w:rPr>
    </w:sdtEndPr>
    <w:sdtContent>
      <w:p w:rsidR="00A43C2A" w:rsidRDefault="00A43C2A" w14:paraId="1F90AF7C" w14:textId="77777777">
        <w:pPr>
          <w:pStyle w:val="Footer"/>
          <w:jc w:val="right"/>
          <w:rPr>
            <w:sz w:val="20"/>
            <w:szCs w:val="20"/>
          </w:rPr>
        </w:pPr>
      </w:p>
      <w:p w:rsidRPr="008F1359" w:rsidR="008F1359" w:rsidP="00B068AF" w:rsidRDefault="00F80AA6" w14:paraId="131D80F1" w14:textId="5D56474E">
        <w:pPr>
          <w:pStyle w:val="Footer"/>
          <w:jc w:val="right"/>
          <w:rPr>
            <w:sz w:val="20"/>
            <w:szCs w:val="20"/>
          </w:rPr>
        </w:pPr>
        <w:r>
          <w:rPr>
            <w:sz w:val="20"/>
            <w:szCs w:val="20"/>
          </w:rPr>
          <w:t>December</w:t>
        </w:r>
        <w:r w:rsidR="00FC07E4">
          <w:rPr>
            <w:sz w:val="20"/>
            <w:szCs w:val="20"/>
          </w:rPr>
          <w:t xml:space="preserve"> </w:t>
        </w:r>
        <w:r w:rsidR="00BD65EA">
          <w:rPr>
            <w:sz w:val="20"/>
            <w:szCs w:val="20"/>
          </w:rPr>
          <w:t>’1</w:t>
        </w:r>
        <w:r w:rsidR="00DE205C">
          <w:rPr>
            <w:sz w:val="20"/>
            <w:szCs w:val="20"/>
          </w:rPr>
          <w:t>9</w:t>
        </w:r>
        <w:r w:rsidRPr="008F1359" w:rsidR="008F1359">
          <w:rPr>
            <w:sz w:val="20"/>
            <w:szCs w:val="20"/>
          </w:rPr>
          <w:t xml:space="preserve"> |</w:t>
        </w:r>
        <w:r w:rsidR="0062023D">
          <w:rPr>
            <w:sz w:val="20"/>
            <w:szCs w:val="20"/>
          </w:rPr>
          <w:t xml:space="preserve"> </w:t>
        </w:r>
        <w:r w:rsidR="008F1359">
          <w:rPr>
            <w:sz w:val="20"/>
            <w:szCs w:val="20"/>
          </w:rPr>
          <w:t>PAGE</w:t>
        </w:r>
        <w:r w:rsidRPr="008F1359" w:rsidR="008F1359">
          <w:rPr>
            <w:sz w:val="20"/>
            <w:szCs w:val="20"/>
          </w:rPr>
          <w:t xml:space="preserve"> </w:t>
        </w:r>
        <w:r w:rsidRPr="008F1359" w:rsidR="008F1359">
          <w:rPr>
            <w:sz w:val="20"/>
            <w:szCs w:val="20"/>
          </w:rPr>
          <w:fldChar w:fldCharType="begin"/>
        </w:r>
        <w:r w:rsidRPr="008F1359" w:rsidR="008F1359">
          <w:rPr>
            <w:sz w:val="20"/>
            <w:szCs w:val="20"/>
          </w:rPr>
          <w:instrText xml:space="preserve"> PAGE   \* MERGEFORMAT </w:instrText>
        </w:r>
        <w:r w:rsidRPr="008F1359" w:rsidR="008F1359">
          <w:rPr>
            <w:sz w:val="20"/>
            <w:szCs w:val="20"/>
          </w:rPr>
          <w:fldChar w:fldCharType="separate"/>
        </w:r>
        <w:r w:rsidR="00507CC7">
          <w:rPr>
            <w:noProof/>
            <w:sz w:val="20"/>
            <w:szCs w:val="20"/>
          </w:rPr>
          <w:t>1</w:t>
        </w:r>
        <w:r w:rsidRPr="008F1359" w:rsidR="008F1359">
          <w:rPr>
            <w:noProof/>
            <w:sz w:val="20"/>
            <w:szCs w:val="20"/>
          </w:rPr>
          <w:fldChar w:fldCharType="end"/>
        </w:r>
      </w:p>
    </w:sdtContent>
  </w:sdt>
  <w:p w:rsidRPr="008F1359" w:rsidR="008F1359" w:rsidRDefault="008F1359" w14:paraId="6DE84868" w14:textId="7777777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82B" w:rsidP="008F1359" w:rsidRDefault="0046382B" w14:paraId="1A8C56D3" w14:textId="77777777">
      <w:pPr>
        <w:spacing w:after="0" w:line="240" w:lineRule="auto"/>
      </w:pPr>
      <w:r>
        <w:separator/>
      </w:r>
    </w:p>
  </w:footnote>
  <w:footnote w:type="continuationSeparator" w:id="0">
    <w:p w:rsidR="0046382B" w:rsidP="008F1359" w:rsidRDefault="0046382B" w14:paraId="2D72233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E93BB9"/>
    <w:multiLevelType w:val="hybridMultilevel"/>
    <w:tmpl w:val="ED74400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7FA"/>
    <w:multiLevelType w:val="multilevel"/>
    <w:tmpl w:val="A998CE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30309BD"/>
    <w:multiLevelType w:val="hybridMultilevel"/>
    <w:tmpl w:val="9D3ECFB2"/>
    <w:lvl w:ilvl="0" w:tplc="A5842408">
      <w:numFmt w:val="bullet"/>
      <w:lvlText w:val="-"/>
      <w:lvlJc w:val="left"/>
      <w:pPr>
        <w:ind w:left="720" w:hanging="360"/>
      </w:pPr>
      <w:rPr>
        <w:rFonts w:hint="default" w:ascii="Calibri" w:hAnsi="Calibri" w:eastAsiaTheme="minorHAnsi" w:cstheme="minorBidi"/>
        <w:b w:val="0"/>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62484C"/>
    <w:multiLevelType w:val="multilevel"/>
    <w:tmpl w:val="B8D2F7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4D6050C"/>
    <w:multiLevelType w:val="multilevel"/>
    <w:tmpl w:val="B7C6A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5481F81"/>
    <w:multiLevelType w:val="hybridMultilevel"/>
    <w:tmpl w:val="CCC2B7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34480E"/>
    <w:multiLevelType w:val="multilevel"/>
    <w:tmpl w:val="2FC87B0A"/>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0" w15:restartNumberingAfterBreak="0">
    <w:nsid w:val="1FEA1549"/>
    <w:multiLevelType w:val="multilevel"/>
    <w:tmpl w:val="6D06F4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5433632"/>
    <w:multiLevelType w:val="multilevel"/>
    <w:tmpl w:val="CC7089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93F1784"/>
    <w:multiLevelType w:val="hybridMultilevel"/>
    <w:tmpl w:val="8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B213C"/>
    <w:multiLevelType w:val="hybridMultilevel"/>
    <w:tmpl w:val="5E8461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24C412A"/>
    <w:multiLevelType w:val="multilevel"/>
    <w:tmpl w:val="76760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3421725"/>
    <w:multiLevelType w:val="hybridMultilevel"/>
    <w:tmpl w:val="133C62B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C2C336F"/>
    <w:multiLevelType w:val="hybridMultilevel"/>
    <w:tmpl w:val="BF0E133C"/>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E16F3"/>
    <w:multiLevelType w:val="hybridMultilevel"/>
    <w:tmpl w:val="2326DC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042A2B"/>
    <w:multiLevelType w:val="hybridMultilevel"/>
    <w:tmpl w:val="FDDA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C43F1"/>
    <w:multiLevelType w:val="hybridMultilevel"/>
    <w:tmpl w:val="E8582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216BF"/>
    <w:multiLevelType w:val="hybridMultilevel"/>
    <w:tmpl w:val="804E8D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603146F"/>
    <w:multiLevelType w:val="multilevel"/>
    <w:tmpl w:val="493E1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6BC6E1C"/>
    <w:multiLevelType w:val="hybridMultilevel"/>
    <w:tmpl w:val="E35CF9A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5B43507"/>
    <w:multiLevelType w:val="hybridMultilevel"/>
    <w:tmpl w:val="F49246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5CA7926"/>
    <w:multiLevelType w:val="multilevel"/>
    <w:tmpl w:val="D3D4EA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7744587"/>
    <w:multiLevelType w:val="multilevel"/>
    <w:tmpl w:val="2F10E1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B245070"/>
    <w:multiLevelType w:val="multilevel"/>
    <w:tmpl w:val="27EA8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F940EBD"/>
    <w:multiLevelType w:val="hybridMultilevel"/>
    <w:tmpl w:val="767291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473627E"/>
    <w:multiLevelType w:val="hybridMultilevel"/>
    <w:tmpl w:val="90D48A4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680C55B6"/>
    <w:multiLevelType w:val="hybridMultilevel"/>
    <w:tmpl w:val="F91078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96932AE"/>
    <w:multiLevelType w:val="multilevel"/>
    <w:tmpl w:val="CFCC59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9DF5A95"/>
    <w:multiLevelType w:val="multilevel"/>
    <w:tmpl w:val="97507E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B420EFD"/>
    <w:multiLevelType w:val="hybridMultilevel"/>
    <w:tmpl w:val="441C3C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C7A43A2"/>
    <w:multiLevelType w:val="hybridMultilevel"/>
    <w:tmpl w:val="9BB26B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0D86AE2"/>
    <w:multiLevelType w:val="multilevel"/>
    <w:tmpl w:val="4A949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16860CD"/>
    <w:multiLevelType w:val="multilevel"/>
    <w:tmpl w:val="E84EA8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2613473"/>
    <w:multiLevelType w:val="hybridMultilevel"/>
    <w:tmpl w:val="CFB8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36E61"/>
    <w:multiLevelType w:val="hybridMultilevel"/>
    <w:tmpl w:val="BC0C9A8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862C1"/>
    <w:multiLevelType w:val="multilevel"/>
    <w:tmpl w:val="9210E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8344314"/>
    <w:multiLevelType w:val="hybridMultilevel"/>
    <w:tmpl w:val="DE202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3">
    <w:abstractNumId w:val="42"/>
  </w:num>
  <w:num w:numId="1">
    <w:abstractNumId w:val="5"/>
  </w:num>
  <w:num w:numId="2">
    <w:abstractNumId w:val="10"/>
  </w:num>
  <w:num w:numId="3">
    <w:abstractNumId w:val="0"/>
  </w:num>
  <w:num w:numId="4">
    <w:abstractNumId w:val="14"/>
  </w:num>
  <w:num w:numId="5">
    <w:abstractNumId w:val="32"/>
  </w:num>
  <w:num w:numId="6">
    <w:abstractNumId w:val="25"/>
  </w:num>
  <w:num w:numId="7">
    <w:abstractNumId w:val="9"/>
  </w:num>
  <w:num w:numId="8">
    <w:abstractNumId w:val="2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9"/>
  </w:num>
  <w:num w:numId="13">
    <w:abstractNumId w:val="13"/>
  </w:num>
  <w:num w:numId="14">
    <w:abstractNumId w:val="35"/>
  </w:num>
  <w:num w:numId="15">
    <w:abstractNumId w:val="28"/>
  </w:num>
  <w:num w:numId="16">
    <w:abstractNumId w:val="26"/>
  </w:num>
  <w:num w:numId="17">
    <w:abstractNumId w:val="37"/>
  </w:num>
  <w:num w:numId="18">
    <w:abstractNumId w:val="6"/>
  </w:num>
  <w:num w:numId="19">
    <w:abstractNumId w:val="11"/>
  </w:num>
  <w:num w:numId="20">
    <w:abstractNumId w:val="40"/>
  </w:num>
  <w:num w:numId="21">
    <w:abstractNumId w:val="36"/>
  </w:num>
  <w:num w:numId="22">
    <w:abstractNumId w:val="4"/>
  </w:num>
  <w:num w:numId="23">
    <w:abstractNumId w:val="2"/>
  </w:num>
  <w:num w:numId="24">
    <w:abstractNumId w:val="17"/>
  </w:num>
  <w:num w:numId="25">
    <w:abstractNumId w:val="8"/>
  </w:num>
  <w:num w:numId="26">
    <w:abstractNumId w:val="22"/>
  </w:num>
  <w:num w:numId="27">
    <w:abstractNumId w:val="1"/>
  </w:num>
  <w:num w:numId="28">
    <w:abstractNumId w:val="18"/>
  </w:num>
  <w:num w:numId="29">
    <w:abstractNumId w:val="38"/>
  </w:num>
  <w:num w:numId="30">
    <w:abstractNumId w:val="39"/>
  </w:num>
  <w:num w:numId="31">
    <w:abstractNumId w:val="16"/>
  </w:num>
  <w:num w:numId="32">
    <w:abstractNumId w:val="12"/>
  </w:num>
  <w:num w:numId="33">
    <w:abstractNumId w:val="3"/>
  </w:num>
  <w:num w:numId="34">
    <w:abstractNumId w:val="20"/>
  </w:num>
  <w:num w:numId="35">
    <w:abstractNumId w:val="31"/>
  </w:num>
  <w:num w:numId="36">
    <w:abstractNumId w:val="41"/>
  </w:num>
  <w:num w:numId="37">
    <w:abstractNumId w:val="30"/>
  </w:num>
  <w:num w:numId="38">
    <w:abstractNumId w:val="15"/>
  </w:num>
  <w:num w:numId="39">
    <w:abstractNumId w:val="33"/>
  </w:num>
  <w:num w:numId="40">
    <w:abstractNumId w:val="19"/>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536D1"/>
    <w:rsid w:val="00077F9E"/>
    <w:rsid w:val="00087B9D"/>
    <w:rsid w:val="00090AA6"/>
    <w:rsid w:val="000A4BCE"/>
    <w:rsid w:val="000B7025"/>
    <w:rsid w:val="000D1E98"/>
    <w:rsid w:val="000D6BF0"/>
    <w:rsid w:val="000D6DB1"/>
    <w:rsid w:val="000E1CD6"/>
    <w:rsid w:val="00100638"/>
    <w:rsid w:val="0011118D"/>
    <w:rsid w:val="00120756"/>
    <w:rsid w:val="0012374E"/>
    <w:rsid w:val="0012397D"/>
    <w:rsid w:val="00127BC2"/>
    <w:rsid w:val="00130EC5"/>
    <w:rsid w:val="0014030E"/>
    <w:rsid w:val="00145292"/>
    <w:rsid w:val="00164B32"/>
    <w:rsid w:val="00170C2D"/>
    <w:rsid w:val="00171D63"/>
    <w:rsid w:val="00187351"/>
    <w:rsid w:val="0019142D"/>
    <w:rsid w:val="00196979"/>
    <w:rsid w:val="00197184"/>
    <w:rsid w:val="001A252B"/>
    <w:rsid w:val="001E6E45"/>
    <w:rsid w:val="001F0333"/>
    <w:rsid w:val="001F1B37"/>
    <w:rsid w:val="002069B5"/>
    <w:rsid w:val="00227B95"/>
    <w:rsid w:val="0023058A"/>
    <w:rsid w:val="002401F7"/>
    <w:rsid w:val="00246F8E"/>
    <w:rsid w:val="00251787"/>
    <w:rsid w:val="00251D82"/>
    <w:rsid w:val="002524A9"/>
    <w:rsid w:val="00255CBB"/>
    <w:rsid w:val="002619E0"/>
    <w:rsid w:val="00261D8A"/>
    <w:rsid w:val="002802CC"/>
    <w:rsid w:val="00284B77"/>
    <w:rsid w:val="002851FC"/>
    <w:rsid w:val="00287CC9"/>
    <w:rsid w:val="00291F7D"/>
    <w:rsid w:val="00294216"/>
    <w:rsid w:val="002A419B"/>
    <w:rsid w:val="002A4FD3"/>
    <w:rsid w:val="002B528D"/>
    <w:rsid w:val="002B799C"/>
    <w:rsid w:val="002C274E"/>
    <w:rsid w:val="002E48F4"/>
    <w:rsid w:val="002E661F"/>
    <w:rsid w:val="002E7D31"/>
    <w:rsid w:val="00301A8F"/>
    <w:rsid w:val="00313868"/>
    <w:rsid w:val="00322568"/>
    <w:rsid w:val="003337C8"/>
    <w:rsid w:val="00336720"/>
    <w:rsid w:val="0034420B"/>
    <w:rsid w:val="00350536"/>
    <w:rsid w:val="00356A37"/>
    <w:rsid w:val="003634B4"/>
    <w:rsid w:val="003741B3"/>
    <w:rsid w:val="003827C6"/>
    <w:rsid w:val="003D0280"/>
    <w:rsid w:val="003D40B8"/>
    <w:rsid w:val="003D4C2D"/>
    <w:rsid w:val="004073CC"/>
    <w:rsid w:val="004126F8"/>
    <w:rsid w:val="00414237"/>
    <w:rsid w:val="00421877"/>
    <w:rsid w:val="00441443"/>
    <w:rsid w:val="00441544"/>
    <w:rsid w:val="00443235"/>
    <w:rsid w:val="00451F1E"/>
    <w:rsid w:val="004615C2"/>
    <w:rsid w:val="0046382B"/>
    <w:rsid w:val="0046590B"/>
    <w:rsid w:val="0046659A"/>
    <w:rsid w:val="0047034B"/>
    <w:rsid w:val="004746B8"/>
    <w:rsid w:val="004813EC"/>
    <w:rsid w:val="0048222C"/>
    <w:rsid w:val="004A0C7B"/>
    <w:rsid w:val="004A3E99"/>
    <w:rsid w:val="004A5E21"/>
    <w:rsid w:val="004B628D"/>
    <w:rsid w:val="004D7A39"/>
    <w:rsid w:val="004F4FAF"/>
    <w:rsid w:val="004F6811"/>
    <w:rsid w:val="005020A9"/>
    <w:rsid w:val="00507537"/>
    <w:rsid w:val="00507CC7"/>
    <w:rsid w:val="00511021"/>
    <w:rsid w:val="0051722E"/>
    <w:rsid w:val="005173B3"/>
    <w:rsid w:val="00594D0D"/>
    <w:rsid w:val="005C6440"/>
    <w:rsid w:val="005D00CB"/>
    <w:rsid w:val="005E5107"/>
    <w:rsid w:val="005F4BB9"/>
    <w:rsid w:val="005F69CF"/>
    <w:rsid w:val="0062023D"/>
    <w:rsid w:val="006274FE"/>
    <w:rsid w:val="006333BA"/>
    <w:rsid w:val="006475B6"/>
    <w:rsid w:val="00647BFE"/>
    <w:rsid w:val="00647DC7"/>
    <w:rsid w:val="00650B52"/>
    <w:rsid w:val="006542E2"/>
    <w:rsid w:val="0065788A"/>
    <w:rsid w:val="00663198"/>
    <w:rsid w:val="00663773"/>
    <w:rsid w:val="006704A2"/>
    <w:rsid w:val="00674719"/>
    <w:rsid w:val="00693942"/>
    <w:rsid w:val="006C0F67"/>
    <w:rsid w:val="006E4C33"/>
    <w:rsid w:val="006E725D"/>
    <w:rsid w:val="006F11D2"/>
    <w:rsid w:val="006F51A5"/>
    <w:rsid w:val="006F5561"/>
    <w:rsid w:val="006F5829"/>
    <w:rsid w:val="007068A4"/>
    <w:rsid w:val="007112A5"/>
    <w:rsid w:val="007245E6"/>
    <w:rsid w:val="00744AE7"/>
    <w:rsid w:val="00750DF8"/>
    <w:rsid w:val="0075252C"/>
    <w:rsid w:val="00784F8F"/>
    <w:rsid w:val="00785A86"/>
    <w:rsid w:val="00786F3C"/>
    <w:rsid w:val="007A0949"/>
    <w:rsid w:val="007A6188"/>
    <w:rsid w:val="007D4B6A"/>
    <w:rsid w:val="007F386C"/>
    <w:rsid w:val="007F6818"/>
    <w:rsid w:val="00800B4E"/>
    <w:rsid w:val="0080466C"/>
    <w:rsid w:val="008078F5"/>
    <w:rsid w:val="008112E8"/>
    <w:rsid w:val="008123CD"/>
    <w:rsid w:val="008135B3"/>
    <w:rsid w:val="00825811"/>
    <w:rsid w:val="008379AF"/>
    <w:rsid w:val="00851416"/>
    <w:rsid w:val="00892DD4"/>
    <w:rsid w:val="008B201C"/>
    <w:rsid w:val="008B6DCE"/>
    <w:rsid w:val="008C0F28"/>
    <w:rsid w:val="008D028C"/>
    <w:rsid w:val="008E1147"/>
    <w:rsid w:val="008E54C0"/>
    <w:rsid w:val="008F1359"/>
    <w:rsid w:val="00905DE0"/>
    <w:rsid w:val="00911F37"/>
    <w:rsid w:val="00914D99"/>
    <w:rsid w:val="00917147"/>
    <w:rsid w:val="009239DE"/>
    <w:rsid w:val="00923A4F"/>
    <w:rsid w:val="00926A22"/>
    <w:rsid w:val="00936886"/>
    <w:rsid w:val="00953972"/>
    <w:rsid w:val="00957F14"/>
    <w:rsid w:val="00963FDF"/>
    <w:rsid w:val="00972A2A"/>
    <w:rsid w:val="00992C9F"/>
    <w:rsid w:val="009E3E10"/>
    <w:rsid w:val="009F0EDF"/>
    <w:rsid w:val="009F1DF9"/>
    <w:rsid w:val="009F60D1"/>
    <w:rsid w:val="00A07CDE"/>
    <w:rsid w:val="00A1705B"/>
    <w:rsid w:val="00A24B6F"/>
    <w:rsid w:val="00A27C9E"/>
    <w:rsid w:val="00A40F48"/>
    <w:rsid w:val="00A43C2A"/>
    <w:rsid w:val="00A47180"/>
    <w:rsid w:val="00A56014"/>
    <w:rsid w:val="00A63AC3"/>
    <w:rsid w:val="00A7284F"/>
    <w:rsid w:val="00A75529"/>
    <w:rsid w:val="00AB4DD6"/>
    <w:rsid w:val="00AC518D"/>
    <w:rsid w:val="00AC7F40"/>
    <w:rsid w:val="00AE096D"/>
    <w:rsid w:val="00AF2021"/>
    <w:rsid w:val="00B068AF"/>
    <w:rsid w:val="00B1072E"/>
    <w:rsid w:val="00B14A52"/>
    <w:rsid w:val="00B22677"/>
    <w:rsid w:val="00B23C1B"/>
    <w:rsid w:val="00B40899"/>
    <w:rsid w:val="00B464B9"/>
    <w:rsid w:val="00B50C08"/>
    <w:rsid w:val="00B66787"/>
    <w:rsid w:val="00B762C8"/>
    <w:rsid w:val="00B86EA6"/>
    <w:rsid w:val="00B91176"/>
    <w:rsid w:val="00BA2447"/>
    <w:rsid w:val="00BA2BF0"/>
    <w:rsid w:val="00BB4606"/>
    <w:rsid w:val="00BD04C3"/>
    <w:rsid w:val="00BD62FE"/>
    <w:rsid w:val="00BD65EA"/>
    <w:rsid w:val="00BF3469"/>
    <w:rsid w:val="00C345F7"/>
    <w:rsid w:val="00C41323"/>
    <w:rsid w:val="00C74ED4"/>
    <w:rsid w:val="00C87BA6"/>
    <w:rsid w:val="00CA1BE6"/>
    <w:rsid w:val="00CA49B0"/>
    <w:rsid w:val="00CC19D3"/>
    <w:rsid w:val="00CD1BB3"/>
    <w:rsid w:val="00CE31FA"/>
    <w:rsid w:val="00D01A0D"/>
    <w:rsid w:val="00D029AD"/>
    <w:rsid w:val="00D04744"/>
    <w:rsid w:val="00D053A9"/>
    <w:rsid w:val="00D10BFB"/>
    <w:rsid w:val="00D265AD"/>
    <w:rsid w:val="00D3276B"/>
    <w:rsid w:val="00D35474"/>
    <w:rsid w:val="00D44737"/>
    <w:rsid w:val="00D54411"/>
    <w:rsid w:val="00D668EC"/>
    <w:rsid w:val="00D9324E"/>
    <w:rsid w:val="00D944CD"/>
    <w:rsid w:val="00DA1441"/>
    <w:rsid w:val="00DB2D7F"/>
    <w:rsid w:val="00DC5353"/>
    <w:rsid w:val="00DD0AAA"/>
    <w:rsid w:val="00DE205C"/>
    <w:rsid w:val="00DE21B5"/>
    <w:rsid w:val="00DE4270"/>
    <w:rsid w:val="00DE5CDB"/>
    <w:rsid w:val="00E038D7"/>
    <w:rsid w:val="00E0525E"/>
    <w:rsid w:val="00E17AC4"/>
    <w:rsid w:val="00E45F43"/>
    <w:rsid w:val="00E510EC"/>
    <w:rsid w:val="00E73F27"/>
    <w:rsid w:val="00E80382"/>
    <w:rsid w:val="00E815F4"/>
    <w:rsid w:val="00E8443D"/>
    <w:rsid w:val="00E8453C"/>
    <w:rsid w:val="00E96DFF"/>
    <w:rsid w:val="00EB13C4"/>
    <w:rsid w:val="00ED37B1"/>
    <w:rsid w:val="00EF5C66"/>
    <w:rsid w:val="00F130CD"/>
    <w:rsid w:val="00F20A79"/>
    <w:rsid w:val="00F22ECF"/>
    <w:rsid w:val="00F2533E"/>
    <w:rsid w:val="00F30662"/>
    <w:rsid w:val="00F41283"/>
    <w:rsid w:val="00F531AA"/>
    <w:rsid w:val="00F75385"/>
    <w:rsid w:val="00F80AA6"/>
    <w:rsid w:val="00F8735E"/>
    <w:rsid w:val="00FC07E4"/>
    <w:rsid w:val="00FC3EEE"/>
    <w:rsid w:val="00FC4AB1"/>
    <w:rsid w:val="00FC752B"/>
    <w:rsid w:val="00FD01DC"/>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hAnsi="Cambria" w:eastAsia="Times New Roman"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hAnsiTheme="majorHAnsi" w:eastAsiaTheme="majorEastAsia"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BD62FE"/>
    <w:rPr>
      <w:b/>
      <w:bCs/>
    </w:rPr>
  </w:style>
  <w:style w:type="character" w:styleId="apple-converted-space" w:customStyle="1">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styleId="CommentTextChar" w:customStyle="1">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styleId="CommentSubjectChar" w:customStyle="1">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styleId="Heading1Char" w:customStyle="1">
    <w:name w:val="Heading 1 Char"/>
    <w:basedOn w:val="DefaultParagraphFont"/>
    <w:link w:val="Heading1"/>
    <w:uiPriority w:val="9"/>
    <w:rsid w:val="00923A4F"/>
    <w:rPr>
      <w:rFonts w:ascii="Cambria" w:hAnsi="Cambria" w:eastAsia="Times New Roman" w:cs="Times New Roman"/>
      <w:b/>
      <w:bCs/>
      <w:kern w:val="32"/>
      <w:sz w:val="32"/>
      <w:szCs w:val="32"/>
    </w:rPr>
  </w:style>
  <w:style w:type="paragraph" w:styleId="NoSpacing2" w:customStyle="1">
    <w:name w:val="No Spacing2"/>
    <w:basedOn w:val="Normal"/>
    <w:uiPriority w:val="1"/>
    <w:qFormat/>
    <w:rsid w:val="00923A4F"/>
    <w:pPr>
      <w:spacing w:after="0" w:line="240" w:lineRule="auto"/>
    </w:pPr>
    <w:rPr>
      <w:rFonts w:ascii="Calibri" w:hAnsi="Calibri" w:eastAsia="Times New Roman" w:cs="Times New Roman"/>
      <w:sz w:val="24"/>
      <w:szCs w:val="32"/>
      <w:lang w:bidi="en-US"/>
    </w:rPr>
  </w:style>
  <w:style w:type="character" w:styleId="Heading2Char" w:customStyle="1">
    <w:name w:val="Heading 2 Char"/>
    <w:basedOn w:val="DefaultParagraphFont"/>
    <w:link w:val="Heading2"/>
    <w:uiPriority w:val="9"/>
    <w:rsid w:val="0048222C"/>
    <w:rPr>
      <w:rFonts w:asciiTheme="majorHAnsi" w:hAnsiTheme="majorHAnsi" w:eastAsiaTheme="majorEastAsia" w:cstheme="majorBidi"/>
      <w:color w:val="2E74B5" w:themeColor="accent1" w:themeShade="BF"/>
      <w:sz w:val="26"/>
      <w:szCs w:val="26"/>
      <w:lang w:bidi="en-US"/>
    </w:rPr>
  </w:style>
  <w:style w:type="paragraph" w:styleId="gdp" w:customStyle="1">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styleId="NoSpacingChar" w:customStyle="1">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hAnsi="Consolas" w:eastAsia="Calibri" w:cs="Times New Roman"/>
      <w:sz w:val="21"/>
      <w:szCs w:val="21"/>
    </w:rPr>
  </w:style>
  <w:style w:type="character" w:styleId="PlainTextChar" w:customStyle="1">
    <w:name w:val="Plain Text Char"/>
    <w:basedOn w:val="DefaultParagraphFont"/>
    <w:link w:val="PlainText"/>
    <w:uiPriority w:val="99"/>
    <w:rsid w:val="008B6DCE"/>
    <w:rPr>
      <w:rFonts w:ascii="Consolas" w:hAnsi="Consolas" w:eastAsia="Calibri" w:cs="Times New Roman"/>
      <w:sz w:val="21"/>
      <w:szCs w:val="21"/>
    </w:rPr>
  </w:style>
  <w:style w:type="paragraph" w:styleId="Default" w:customStyle="1">
    <w:name w:val="Default"/>
    <w:rsid w:val="008B6DCE"/>
    <w:pPr>
      <w:autoSpaceDE w:val="0"/>
      <w:autoSpaceDN w:val="0"/>
      <w:adjustRightInd w:val="0"/>
      <w:spacing w:after="0" w:line="240" w:lineRule="auto"/>
    </w:pPr>
    <w:rPr>
      <w:rFonts w:ascii="Symbol" w:hAnsi="Symbol" w:cs="Symbol"/>
      <w:color w:val="000000"/>
      <w:sz w:val="24"/>
      <w:szCs w:val="24"/>
    </w:rPr>
  </w:style>
  <w:style w:type="paragraph" w:styleId="ydp2743a71cyiv7148563013msonormal" w:customStyle="1">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styleId="ydp2743a71cmsonormal" w:customStyle="1">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styleId="Heading3Char" w:customStyle="1">
    <w:name w:val="Heading 3 Char"/>
    <w:basedOn w:val="DefaultParagraphFont"/>
    <w:link w:val="Heading3"/>
    <w:uiPriority w:val="9"/>
    <w:semiHidden/>
    <w:rsid w:val="00FC4AB1"/>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styleId="meta-cats" w:customStyle="1">
    <w:name w:val="meta-cats"/>
    <w:basedOn w:val="DefaultParagraphFont"/>
    <w:rsid w:val="002802CC"/>
  </w:style>
  <w:style w:type="character" w:styleId="meta-date" w:customStyle="1">
    <w:name w:val="meta-date"/>
    <w:basedOn w:val="DefaultParagraphFont"/>
    <w:rsid w:val="002802CC"/>
  </w:style>
  <w:style w:type="character" w:styleId="meta-comments" w:customStyle="1">
    <w:name w:val="meta-comments"/>
    <w:basedOn w:val="DefaultParagraphFont"/>
    <w:rsid w:val="0028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nahbnow.com/2018/03/new-tax-regulations-affect-transportation-subsidie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irs.gov/irb/2008-12_IRB/ar14.html"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nahb.org/news-and-publications/publications/housing-developments-podcast.aspx"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settings" Target="settings.xml" Id="rId4" /><Relationship Type="http://schemas.openxmlformats.org/officeDocument/2006/relationships/hyperlink" Target="mailto:jdelmore@nahb.org" TargetMode="External" Id="rId14" /><Relationship Type="http://schemas.openxmlformats.org/officeDocument/2006/relationships/hyperlink" Target="https://static1.squarespace.com/static/59e64f7aa803bb12f450bd3a/t/5de7df31f4450873e666fe84/1575477042084/Highlighted+UDC+Electrical+Changes.pdf" TargetMode="External" Id="R0fde77ffe0d14edb" /><Relationship Type="http://schemas.openxmlformats.org/officeDocument/2006/relationships/glossaryDocument" Target="/word/glossary/document.xml" Id="R34312550d51e4bb6" /><Relationship Type="http://schemas.openxmlformats.org/officeDocument/2006/relationships/hyperlink" Target="https://docs.legis.wisconsin.gov/2019/related/acts/38.pdf" TargetMode="External" Id="Rb48884a60fc94e5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d7acad-97c9-42b4-887d-caabe51d2119}"/>
      </w:docPartPr>
      <w:docPartBody>
        <w:p w14:paraId="76B82D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F776-A468-4000-9684-08730EEBBE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Long</dc:creator>
  <keywords/>
  <dc:description/>
  <lastModifiedBy>Alicia Naleid</lastModifiedBy>
  <revision>9</revision>
  <dcterms:created xsi:type="dcterms:W3CDTF">2019-12-19T17:01:00.0000000Z</dcterms:created>
  <dcterms:modified xsi:type="dcterms:W3CDTF">2019-12-19T20:00:50.1373297Z</dcterms:modified>
</coreProperties>
</file>